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62375" w14:textId="0D93551A" w:rsidR="00720BF2" w:rsidRPr="00024194" w:rsidRDefault="009C264B" w:rsidP="009D724D">
      <w:pPr>
        <w:ind w:left="720"/>
        <w:rPr>
          <w:rFonts w:ascii="Tahoma" w:eastAsia="Times New Roman" w:hAnsi="Tahoma" w:cs="Tahoma"/>
          <w:color w:val="000000"/>
          <w:sz w:val="20"/>
          <w:szCs w:val="20"/>
          <w:lang w:eastAsia="en-US"/>
        </w:rPr>
      </w:pPr>
      <w:r w:rsidRPr="00024194">
        <w:rPr>
          <w:rFonts w:asciiTheme="minorHAnsi" w:hAnsiTheme="minorHAnsi" w:cstheme="minorHAnsi"/>
          <w:b/>
          <w:bCs/>
          <w:sz w:val="22"/>
          <w:szCs w:val="22"/>
        </w:rPr>
        <w:t>Call for Paper</w:t>
      </w:r>
      <w:r w:rsidR="00A3779C" w:rsidRPr="00024194">
        <w:rPr>
          <w:rFonts w:asciiTheme="minorHAnsi" w:hAnsiTheme="minorHAnsi" w:cstheme="minorHAnsi"/>
          <w:b/>
          <w:bCs/>
          <w:sz w:val="22"/>
          <w:szCs w:val="22"/>
        </w:rPr>
        <w:t>s</w:t>
      </w:r>
      <w:r w:rsidR="00024194" w:rsidRPr="00024194">
        <w:rPr>
          <w:rFonts w:asciiTheme="minorHAnsi" w:hAnsiTheme="minorHAnsi" w:cstheme="minorHAnsi"/>
          <w:b/>
          <w:bCs/>
          <w:sz w:val="22"/>
          <w:szCs w:val="22"/>
        </w:rPr>
        <w:br/>
      </w:r>
      <w:r w:rsidR="00374F5F" w:rsidRPr="00024194">
        <w:rPr>
          <w:rFonts w:asciiTheme="minorHAnsi" w:eastAsia="Times New Roman" w:hAnsiTheme="minorHAnsi" w:cstheme="minorHAnsi"/>
          <w:b/>
          <w:sz w:val="22"/>
          <w:szCs w:val="22"/>
        </w:rPr>
        <w:t>Big Data</w:t>
      </w:r>
      <w:r w:rsidR="00A3779C" w:rsidRPr="00024194">
        <w:rPr>
          <w:rFonts w:asciiTheme="minorHAnsi" w:eastAsia="Times New Roman" w:hAnsiTheme="minorHAnsi" w:cstheme="minorHAnsi"/>
          <w:b/>
          <w:sz w:val="22"/>
          <w:szCs w:val="22"/>
        </w:rPr>
        <w:t xml:space="preserve">: </w:t>
      </w:r>
      <w:r w:rsidR="00374F5F" w:rsidRPr="00024194">
        <w:rPr>
          <w:rFonts w:asciiTheme="minorHAnsi" w:eastAsia="Times New Roman" w:hAnsiTheme="minorHAnsi" w:cstheme="minorHAnsi"/>
          <w:b/>
          <w:sz w:val="22"/>
          <w:szCs w:val="22"/>
        </w:rPr>
        <w:t>Long</w:t>
      </w:r>
      <w:r w:rsidR="003010E9" w:rsidRPr="00024194">
        <w:rPr>
          <w:rFonts w:asciiTheme="minorHAnsi" w:eastAsia="Times New Roman" w:hAnsiTheme="minorHAnsi" w:cstheme="minorHAnsi"/>
          <w:b/>
          <w:sz w:val="22"/>
          <w:szCs w:val="22"/>
        </w:rPr>
        <w:t>-</w:t>
      </w:r>
      <w:r w:rsidR="00374F5F" w:rsidRPr="00024194">
        <w:rPr>
          <w:rFonts w:asciiTheme="minorHAnsi" w:eastAsia="Times New Roman" w:hAnsiTheme="minorHAnsi" w:cstheme="minorHAnsi"/>
          <w:b/>
          <w:sz w:val="22"/>
          <w:szCs w:val="22"/>
        </w:rPr>
        <w:t>Term Implications for Financial Markets and Firms</w:t>
      </w:r>
      <w:r w:rsidR="00024194" w:rsidRPr="00024194">
        <w:rPr>
          <w:rFonts w:asciiTheme="minorHAnsi" w:eastAsia="Times New Roman" w:hAnsiTheme="minorHAnsi" w:cstheme="minorHAnsi"/>
          <w:b/>
          <w:sz w:val="22"/>
          <w:szCs w:val="22"/>
        </w:rPr>
        <w:br/>
      </w:r>
      <w:r w:rsidR="00A3779C" w:rsidRPr="00024194">
        <w:rPr>
          <w:rFonts w:asciiTheme="minorHAnsi" w:hAnsiTheme="minorHAnsi" w:cstheme="minorHAnsi"/>
          <w:b/>
          <w:bCs/>
          <w:sz w:val="22"/>
          <w:szCs w:val="22"/>
        </w:rPr>
        <w:t>Cambridge, MA: March 8, 2019</w:t>
      </w:r>
      <w:r w:rsidR="00024194" w:rsidRPr="00024194">
        <w:rPr>
          <w:rFonts w:asciiTheme="minorHAnsi" w:hAnsiTheme="minorHAnsi" w:cstheme="minorHAnsi"/>
          <w:b/>
          <w:bCs/>
          <w:sz w:val="22"/>
          <w:szCs w:val="22"/>
        </w:rPr>
        <w:br/>
      </w:r>
      <w:r w:rsidR="00024194" w:rsidRPr="00024194">
        <w:rPr>
          <w:rFonts w:asciiTheme="minorHAnsi" w:hAnsiTheme="minorHAnsi" w:cstheme="minorHAnsi"/>
          <w:b/>
          <w:bCs/>
          <w:sz w:val="22"/>
          <w:szCs w:val="22"/>
        </w:rPr>
        <w:br/>
      </w:r>
      <w:r w:rsidR="00720BF2" w:rsidRPr="00024194">
        <w:rPr>
          <w:rFonts w:asciiTheme="minorHAnsi" w:hAnsiTheme="minorHAnsi" w:cstheme="minorHAnsi"/>
          <w:bCs/>
          <w:sz w:val="22"/>
          <w:szCs w:val="22"/>
        </w:rPr>
        <w:tab/>
      </w:r>
      <w:proofErr w:type="gramStart"/>
      <w:r w:rsidR="00CD5655" w:rsidRPr="00024194">
        <w:rPr>
          <w:rFonts w:asciiTheme="minorHAnsi" w:hAnsiTheme="minorHAnsi" w:cstheme="minorHAnsi"/>
          <w:sz w:val="22"/>
          <w:szCs w:val="22"/>
        </w:rPr>
        <w:t>Big</w:t>
      </w:r>
      <w:proofErr w:type="gramEnd"/>
      <w:r w:rsidR="00CD5655" w:rsidRPr="00024194">
        <w:rPr>
          <w:rFonts w:asciiTheme="minorHAnsi" w:hAnsiTheme="minorHAnsi" w:cstheme="minorHAnsi"/>
          <w:sz w:val="22"/>
          <w:szCs w:val="22"/>
        </w:rPr>
        <w:t xml:space="preserve"> data </w:t>
      </w:r>
      <w:r w:rsidR="00374F5F" w:rsidRPr="00024194">
        <w:rPr>
          <w:rFonts w:asciiTheme="minorHAnsi" w:hAnsiTheme="minorHAnsi" w:cstheme="minorHAnsi"/>
          <w:sz w:val="22"/>
          <w:szCs w:val="22"/>
        </w:rPr>
        <w:t>provide opportunities for financial economists to explore new topics and to answer traditional questions in novel and mo</w:t>
      </w:r>
      <w:r w:rsidR="004D08FD" w:rsidRPr="00024194">
        <w:rPr>
          <w:rFonts w:asciiTheme="minorHAnsi" w:hAnsiTheme="minorHAnsi" w:cstheme="minorHAnsi"/>
          <w:sz w:val="22"/>
          <w:szCs w:val="22"/>
        </w:rPr>
        <w:t>r</w:t>
      </w:r>
      <w:r w:rsidR="00374F5F" w:rsidRPr="00024194">
        <w:rPr>
          <w:rFonts w:asciiTheme="minorHAnsi" w:hAnsiTheme="minorHAnsi" w:cstheme="minorHAnsi"/>
          <w:sz w:val="22"/>
          <w:szCs w:val="22"/>
        </w:rPr>
        <w:t>e revealing way</w:t>
      </w:r>
      <w:r w:rsidR="00720BF2" w:rsidRPr="00024194">
        <w:rPr>
          <w:rFonts w:asciiTheme="minorHAnsi" w:hAnsiTheme="minorHAnsi" w:cstheme="minorHAnsi"/>
          <w:sz w:val="22"/>
          <w:szCs w:val="22"/>
        </w:rPr>
        <w:t xml:space="preserve">s.  To promote research on issues that relate to big data and financial markets, the National Bureau of Economic Research (NBER), with the generous support of the National Science Foundation and in collaboration with the Review of Financial Studies (RFS), will convene a research conference that will bring together research that uses, or explores the implications of, data sets that are large, complex, or high dimensional.  </w:t>
      </w:r>
      <w:r w:rsidR="00024194" w:rsidRPr="00024194">
        <w:rPr>
          <w:rFonts w:asciiTheme="minorHAnsi" w:hAnsiTheme="minorHAnsi" w:cstheme="minorHAnsi"/>
          <w:sz w:val="22"/>
          <w:szCs w:val="22"/>
        </w:rPr>
        <w:br/>
      </w:r>
      <w:r w:rsidR="00024194" w:rsidRPr="00024194">
        <w:rPr>
          <w:rFonts w:asciiTheme="minorHAnsi" w:hAnsiTheme="minorHAnsi" w:cstheme="minorHAnsi"/>
          <w:sz w:val="22"/>
          <w:szCs w:val="22"/>
        </w:rPr>
        <w:br/>
      </w:r>
      <w:r w:rsidR="00720BF2" w:rsidRPr="00024194">
        <w:rPr>
          <w:rFonts w:asciiTheme="minorHAnsi" w:hAnsiTheme="minorHAnsi" w:cstheme="minorHAnsi"/>
          <w:sz w:val="22"/>
          <w:szCs w:val="22"/>
        </w:rPr>
        <w:tab/>
        <w:t xml:space="preserve">The program </w:t>
      </w:r>
      <w:r w:rsidR="00974D2F" w:rsidRPr="00024194">
        <w:rPr>
          <w:rFonts w:asciiTheme="minorHAnsi" w:hAnsiTheme="minorHAnsi" w:cstheme="minorHAnsi"/>
          <w:sz w:val="22"/>
          <w:szCs w:val="22"/>
        </w:rPr>
        <w:t xml:space="preserve">will </w:t>
      </w:r>
      <w:r w:rsidR="00974D2F" w:rsidRPr="00024194">
        <w:rPr>
          <w:rFonts w:asciiTheme="minorHAnsi" w:hAnsiTheme="minorHAnsi" w:cstheme="minorHAnsi"/>
          <w:noProof/>
          <w:sz w:val="22"/>
          <w:szCs w:val="22"/>
        </w:rPr>
        <w:t>be organized</w:t>
      </w:r>
      <w:r w:rsidR="00974D2F" w:rsidRPr="00024194">
        <w:rPr>
          <w:rFonts w:asciiTheme="minorHAnsi" w:hAnsiTheme="minorHAnsi" w:cstheme="minorHAnsi"/>
          <w:sz w:val="22"/>
          <w:szCs w:val="22"/>
        </w:rPr>
        <w:t xml:space="preserve"> by </w:t>
      </w:r>
      <w:proofErr w:type="spellStart"/>
      <w:r w:rsidR="00974D2F" w:rsidRPr="00024194">
        <w:rPr>
          <w:rFonts w:asciiTheme="minorHAnsi" w:hAnsiTheme="minorHAnsi" w:cstheme="minorHAnsi"/>
          <w:sz w:val="22"/>
          <w:szCs w:val="22"/>
        </w:rPr>
        <w:t>Itay</w:t>
      </w:r>
      <w:proofErr w:type="spellEnd"/>
      <w:r w:rsidR="00974D2F" w:rsidRPr="00024194">
        <w:rPr>
          <w:rFonts w:asciiTheme="minorHAnsi" w:hAnsiTheme="minorHAnsi" w:cstheme="minorHAnsi"/>
          <w:sz w:val="22"/>
          <w:szCs w:val="22"/>
        </w:rPr>
        <w:t xml:space="preserve"> Goldstein</w:t>
      </w:r>
      <w:r w:rsidR="00A3779C" w:rsidRPr="00024194">
        <w:rPr>
          <w:rFonts w:asciiTheme="minorHAnsi" w:hAnsiTheme="minorHAnsi" w:cstheme="minorHAnsi"/>
          <w:sz w:val="22"/>
          <w:szCs w:val="22"/>
        </w:rPr>
        <w:t xml:space="preserve"> of the Wharton School at the University of Pennsylvania, Chester </w:t>
      </w:r>
      <w:proofErr w:type="spellStart"/>
      <w:r w:rsidR="00F96462" w:rsidRPr="00024194">
        <w:rPr>
          <w:rFonts w:asciiTheme="minorHAnsi" w:hAnsiTheme="minorHAnsi" w:cstheme="minorHAnsi"/>
          <w:sz w:val="22"/>
          <w:szCs w:val="22"/>
        </w:rPr>
        <w:t>Spatt</w:t>
      </w:r>
      <w:proofErr w:type="spellEnd"/>
      <w:r w:rsidR="00A3779C" w:rsidRPr="00024194">
        <w:rPr>
          <w:rFonts w:asciiTheme="minorHAnsi" w:hAnsiTheme="minorHAnsi" w:cstheme="minorHAnsi"/>
          <w:sz w:val="22"/>
          <w:szCs w:val="22"/>
        </w:rPr>
        <w:t xml:space="preserve"> of Carnegie Mellon University and NBER, and </w:t>
      </w:r>
      <w:r w:rsidR="00974D2F" w:rsidRPr="00024194">
        <w:rPr>
          <w:rFonts w:asciiTheme="minorHAnsi" w:hAnsiTheme="minorHAnsi" w:cstheme="minorHAnsi"/>
          <w:sz w:val="22"/>
          <w:szCs w:val="22"/>
        </w:rPr>
        <w:t>Mao Ye</w:t>
      </w:r>
      <w:r w:rsidR="00A3779C" w:rsidRPr="00024194">
        <w:rPr>
          <w:rFonts w:asciiTheme="minorHAnsi" w:hAnsiTheme="minorHAnsi" w:cstheme="minorHAnsi"/>
          <w:sz w:val="22"/>
          <w:szCs w:val="22"/>
        </w:rPr>
        <w:t xml:space="preserve"> of the University of Illinois and NBER. </w:t>
      </w:r>
      <w:r w:rsidR="00024194" w:rsidRPr="00024194">
        <w:rPr>
          <w:rFonts w:asciiTheme="minorHAnsi" w:hAnsiTheme="minorHAnsi" w:cstheme="minorHAnsi"/>
          <w:sz w:val="22"/>
          <w:szCs w:val="22"/>
        </w:rPr>
        <w:br/>
      </w:r>
      <w:r w:rsidR="00024194" w:rsidRPr="00024194">
        <w:rPr>
          <w:rFonts w:asciiTheme="minorHAnsi" w:hAnsiTheme="minorHAnsi" w:cstheme="minorHAnsi"/>
          <w:sz w:val="22"/>
          <w:szCs w:val="22"/>
        </w:rPr>
        <w:br/>
      </w:r>
      <w:r w:rsidR="00720BF2" w:rsidRPr="00024194">
        <w:rPr>
          <w:rFonts w:asciiTheme="minorHAnsi" w:hAnsiTheme="minorHAnsi" w:cstheme="minorHAnsi"/>
          <w:sz w:val="22"/>
          <w:szCs w:val="22"/>
        </w:rPr>
        <w:tab/>
      </w:r>
      <w:r w:rsidR="00A3779C" w:rsidRPr="00024194">
        <w:rPr>
          <w:rFonts w:asciiTheme="minorHAnsi" w:hAnsiTheme="minorHAnsi" w:cstheme="minorHAnsi"/>
          <w:sz w:val="22"/>
          <w:szCs w:val="22"/>
        </w:rPr>
        <w:t>Research themes that will be emphasized at the conference include, but</w:t>
      </w:r>
      <w:r w:rsidR="00FD717E" w:rsidRPr="00024194">
        <w:rPr>
          <w:rFonts w:asciiTheme="minorHAnsi" w:hAnsiTheme="minorHAnsi" w:cstheme="minorHAnsi"/>
          <w:sz w:val="22"/>
          <w:szCs w:val="22"/>
        </w:rPr>
        <w:t xml:space="preserve"> are not limited to: </w:t>
      </w:r>
      <w:r w:rsidR="00024194" w:rsidRPr="00024194">
        <w:rPr>
          <w:rFonts w:asciiTheme="minorHAnsi" w:hAnsiTheme="minorHAnsi" w:cstheme="minorHAnsi"/>
          <w:sz w:val="22"/>
          <w:szCs w:val="22"/>
        </w:rPr>
        <w:br/>
      </w:r>
      <w:r w:rsidR="00024194" w:rsidRPr="00024194">
        <w:rPr>
          <w:rFonts w:asciiTheme="minorHAnsi" w:hAnsiTheme="minorHAnsi" w:cstheme="minorHAnsi"/>
          <w:sz w:val="22"/>
          <w:szCs w:val="22"/>
        </w:rPr>
        <w:br/>
      </w:r>
      <w:r w:rsidR="00024194" w:rsidRPr="00024194">
        <w:rPr>
          <w:rFonts w:asciiTheme="minorHAnsi" w:hAnsiTheme="minorHAnsi" w:cstheme="minorHAnsi"/>
          <w:b/>
          <w:sz w:val="22"/>
          <w:szCs w:val="22"/>
        </w:rPr>
        <w:t>•</w:t>
      </w:r>
      <w:r w:rsidR="00024194" w:rsidRPr="00024194">
        <w:rPr>
          <w:rFonts w:asciiTheme="minorHAnsi" w:hAnsiTheme="minorHAnsi" w:cstheme="minorHAnsi"/>
          <w:b/>
          <w:sz w:val="22"/>
          <w:szCs w:val="22"/>
        </w:rPr>
        <w:tab/>
      </w:r>
      <w:r w:rsidR="00C33651" w:rsidRPr="00024194">
        <w:rPr>
          <w:rFonts w:asciiTheme="minorHAnsi" w:hAnsiTheme="minorHAnsi" w:cstheme="minorHAnsi"/>
          <w:b/>
          <w:sz w:val="22"/>
          <w:szCs w:val="22"/>
        </w:rPr>
        <w:t>M</w:t>
      </w:r>
      <w:r w:rsidR="00276D7D" w:rsidRPr="00024194">
        <w:rPr>
          <w:rFonts w:asciiTheme="minorHAnsi" w:hAnsiTheme="minorHAnsi" w:cstheme="minorHAnsi"/>
          <w:b/>
          <w:sz w:val="22"/>
          <w:szCs w:val="22"/>
        </w:rPr>
        <w:t>arket microstructure</w:t>
      </w:r>
      <w:r w:rsidR="00C33651" w:rsidRPr="00024194">
        <w:rPr>
          <w:rFonts w:asciiTheme="minorHAnsi" w:hAnsiTheme="minorHAnsi" w:cstheme="minorHAnsi"/>
          <w:b/>
          <w:sz w:val="22"/>
          <w:szCs w:val="22"/>
        </w:rPr>
        <w:t>:</w:t>
      </w:r>
      <w:r w:rsidR="00C33651" w:rsidRPr="00024194">
        <w:rPr>
          <w:rFonts w:asciiTheme="minorHAnsi" w:hAnsiTheme="minorHAnsi" w:cstheme="minorHAnsi"/>
          <w:sz w:val="22"/>
          <w:szCs w:val="22"/>
        </w:rPr>
        <w:t xml:space="preserve"> the analysis </w:t>
      </w:r>
      <w:r w:rsidR="006E7DA1" w:rsidRPr="00024194">
        <w:rPr>
          <w:rFonts w:asciiTheme="minorHAnsi" w:hAnsiTheme="minorHAnsi" w:cstheme="minorHAnsi"/>
          <w:sz w:val="22"/>
          <w:szCs w:val="22"/>
        </w:rPr>
        <w:t>of t</w:t>
      </w:r>
      <w:r w:rsidR="00E36379" w:rsidRPr="00024194">
        <w:rPr>
          <w:rFonts w:asciiTheme="minorHAnsi" w:hAnsiTheme="minorHAnsi" w:cstheme="minorHAnsi"/>
          <w:sz w:val="22"/>
          <w:szCs w:val="22"/>
        </w:rPr>
        <w:t xml:space="preserve">ransaction </w:t>
      </w:r>
      <w:r w:rsidR="00811C62" w:rsidRPr="00024194">
        <w:rPr>
          <w:rFonts w:asciiTheme="minorHAnsi" w:hAnsiTheme="minorHAnsi" w:cstheme="minorHAnsi"/>
          <w:sz w:val="22"/>
          <w:szCs w:val="22"/>
        </w:rPr>
        <w:t xml:space="preserve">level </w:t>
      </w:r>
      <w:r w:rsidR="006E7DA1" w:rsidRPr="00024194">
        <w:rPr>
          <w:rFonts w:asciiTheme="minorHAnsi" w:hAnsiTheme="minorHAnsi" w:cstheme="minorHAnsi"/>
          <w:sz w:val="22"/>
          <w:szCs w:val="22"/>
        </w:rPr>
        <w:t>data</w:t>
      </w:r>
      <w:r w:rsidR="00A3779C" w:rsidRPr="00024194">
        <w:rPr>
          <w:rFonts w:asciiTheme="minorHAnsi" w:hAnsiTheme="minorHAnsi" w:cstheme="minorHAnsi"/>
          <w:sz w:val="22"/>
          <w:szCs w:val="22"/>
        </w:rPr>
        <w:t xml:space="preserve">; </w:t>
      </w:r>
      <w:r w:rsidR="006E7DA1" w:rsidRPr="00024194">
        <w:rPr>
          <w:rFonts w:asciiTheme="minorHAnsi" w:hAnsiTheme="minorHAnsi" w:cstheme="minorHAnsi"/>
          <w:sz w:val="22"/>
          <w:szCs w:val="22"/>
        </w:rPr>
        <w:t>theoretical</w:t>
      </w:r>
      <w:r w:rsidR="00E36379" w:rsidRPr="00024194">
        <w:rPr>
          <w:rFonts w:asciiTheme="minorHAnsi" w:hAnsiTheme="minorHAnsi" w:cstheme="minorHAnsi"/>
          <w:sz w:val="22"/>
          <w:szCs w:val="22"/>
        </w:rPr>
        <w:t xml:space="preserve"> frameworks</w:t>
      </w:r>
      <w:r w:rsidR="006E7DA1" w:rsidRPr="00024194">
        <w:rPr>
          <w:rFonts w:asciiTheme="minorHAnsi" w:hAnsiTheme="minorHAnsi" w:cstheme="minorHAnsi"/>
          <w:sz w:val="22"/>
          <w:szCs w:val="22"/>
        </w:rPr>
        <w:t xml:space="preserve"> that </w:t>
      </w:r>
      <w:r w:rsidR="00A3779C" w:rsidRPr="00024194">
        <w:rPr>
          <w:rFonts w:asciiTheme="minorHAnsi" w:hAnsiTheme="minorHAnsi" w:cstheme="minorHAnsi"/>
          <w:sz w:val="22"/>
          <w:szCs w:val="22"/>
        </w:rPr>
        <w:t>g</w:t>
      </w:r>
      <w:r w:rsidR="00FC1B11" w:rsidRPr="00024194">
        <w:rPr>
          <w:rFonts w:asciiTheme="minorHAnsi" w:hAnsiTheme="minorHAnsi" w:cstheme="minorHAnsi"/>
          <w:sz w:val="22"/>
          <w:szCs w:val="22"/>
        </w:rPr>
        <w:t xml:space="preserve">uide </w:t>
      </w:r>
      <w:r w:rsidR="006E7DA1" w:rsidRPr="00024194">
        <w:rPr>
          <w:rFonts w:asciiTheme="minorHAnsi" w:hAnsiTheme="minorHAnsi" w:cstheme="minorHAnsi"/>
          <w:sz w:val="22"/>
          <w:szCs w:val="22"/>
        </w:rPr>
        <w:t>empirical analysis</w:t>
      </w:r>
      <w:r w:rsidR="00B82576" w:rsidRPr="00024194">
        <w:rPr>
          <w:rFonts w:asciiTheme="minorHAnsi" w:hAnsiTheme="minorHAnsi" w:cstheme="minorHAnsi"/>
          <w:sz w:val="22"/>
          <w:szCs w:val="22"/>
        </w:rPr>
        <w:t>;</w:t>
      </w:r>
      <w:r w:rsidR="00BF3C04" w:rsidRPr="00024194">
        <w:rPr>
          <w:rFonts w:asciiTheme="minorHAnsi" w:hAnsiTheme="minorHAnsi" w:cstheme="minorHAnsi"/>
          <w:sz w:val="22"/>
          <w:szCs w:val="22"/>
        </w:rPr>
        <w:t xml:space="preserve"> machine-human interaction</w:t>
      </w:r>
      <w:r w:rsidR="00B82576" w:rsidRPr="00024194">
        <w:rPr>
          <w:rFonts w:asciiTheme="minorHAnsi" w:hAnsiTheme="minorHAnsi" w:cstheme="minorHAnsi"/>
          <w:sz w:val="22"/>
          <w:szCs w:val="22"/>
        </w:rPr>
        <w:t>s</w:t>
      </w:r>
      <w:r w:rsidR="00BF3C04" w:rsidRPr="00024194">
        <w:rPr>
          <w:rFonts w:asciiTheme="minorHAnsi" w:hAnsiTheme="minorHAnsi" w:cstheme="minorHAnsi"/>
          <w:sz w:val="22"/>
          <w:szCs w:val="22"/>
        </w:rPr>
        <w:t xml:space="preserve"> and machine-machine </w:t>
      </w:r>
      <w:r w:rsidR="00B84AC5" w:rsidRPr="00024194">
        <w:rPr>
          <w:rFonts w:asciiTheme="minorHAnsi" w:hAnsiTheme="minorHAnsi" w:cstheme="minorHAnsi"/>
          <w:sz w:val="22"/>
          <w:szCs w:val="22"/>
        </w:rPr>
        <w:t>interaction</w:t>
      </w:r>
      <w:r w:rsidR="00B82576" w:rsidRPr="00024194">
        <w:rPr>
          <w:rFonts w:asciiTheme="minorHAnsi" w:hAnsiTheme="minorHAnsi" w:cstheme="minorHAnsi"/>
          <w:sz w:val="22"/>
          <w:szCs w:val="22"/>
        </w:rPr>
        <w:t>s</w:t>
      </w:r>
      <w:r w:rsidR="00B84AC5" w:rsidRPr="00024194">
        <w:rPr>
          <w:rFonts w:asciiTheme="minorHAnsi" w:hAnsiTheme="minorHAnsi" w:cstheme="minorHAnsi"/>
          <w:sz w:val="22"/>
          <w:szCs w:val="22"/>
        </w:rPr>
        <w:t xml:space="preserve"> in</w:t>
      </w:r>
      <w:r w:rsidR="00BF3C04" w:rsidRPr="00024194">
        <w:rPr>
          <w:rFonts w:asciiTheme="minorHAnsi" w:hAnsiTheme="minorHAnsi" w:cstheme="minorHAnsi"/>
          <w:sz w:val="22"/>
          <w:szCs w:val="22"/>
        </w:rPr>
        <w:t xml:space="preserve"> financial markets.   </w:t>
      </w:r>
      <w:r w:rsidR="00024194" w:rsidRPr="00024194">
        <w:rPr>
          <w:rFonts w:asciiTheme="minorHAnsi" w:hAnsiTheme="minorHAnsi" w:cstheme="minorHAnsi"/>
          <w:sz w:val="22"/>
          <w:szCs w:val="22"/>
        </w:rPr>
        <w:br/>
      </w:r>
      <w:r w:rsidR="00024194" w:rsidRPr="00024194">
        <w:rPr>
          <w:rFonts w:asciiTheme="minorHAnsi" w:hAnsiTheme="minorHAnsi" w:cstheme="minorHAnsi"/>
          <w:b/>
          <w:sz w:val="22"/>
          <w:szCs w:val="22"/>
        </w:rPr>
        <w:t>•</w:t>
      </w:r>
      <w:r w:rsidR="00024194" w:rsidRPr="00024194">
        <w:rPr>
          <w:rFonts w:asciiTheme="minorHAnsi" w:hAnsiTheme="minorHAnsi" w:cstheme="minorHAnsi"/>
          <w:b/>
          <w:sz w:val="22"/>
          <w:szCs w:val="22"/>
        </w:rPr>
        <w:tab/>
      </w:r>
      <w:r w:rsidR="006E7DA1" w:rsidRPr="00024194">
        <w:rPr>
          <w:rFonts w:asciiTheme="minorHAnsi" w:hAnsiTheme="minorHAnsi" w:cstheme="minorHAnsi"/>
          <w:b/>
          <w:sz w:val="22"/>
          <w:szCs w:val="22"/>
        </w:rPr>
        <w:t>Asset pricing</w:t>
      </w:r>
      <w:r w:rsidR="006E7DA1" w:rsidRPr="00024194">
        <w:rPr>
          <w:rFonts w:asciiTheme="minorHAnsi" w:hAnsiTheme="minorHAnsi" w:cstheme="minorHAnsi"/>
          <w:sz w:val="22"/>
          <w:szCs w:val="22"/>
        </w:rPr>
        <w:t>: the analysis of high-dimensional data using machine learning techniques</w:t>
      </w:r>
      <w:r w:rsidR="00E67033" w:rsidRPr="00024194">
        <w:rPr>
          <w:rFonts w:asciiTheme="minorHAnsi" w:hAnsiTheme="minorHAnsi" w:cstheme="minorHAnsi"/>
          <w:sz w:val="22"/>
          <w:szCs w:val="22"/>
        </w:rPr>
        <w:t xml:space="preserve">; </w:t>
      </w:r>
      <w:r w:rsidR="00F9648D" w:rsidRPr="00024194">
        <w:rPr>
          <w:rFonts w:asciiTheme="minorHAnsi" w:hAnsiTheme="minorHAnsi" w:cstheme="minorHAnsi"/>
          <w:sz w:val="22"/>
          <w:szCs w:val="22"/>
        </w:rPr>
        <w:t>the rise of machine</w:t>
      </w:r>
      <w:r w:rsidR="004D08FD" w:rsidRPr="00024194">
        <w:rPr>
          <w:rFonts w:asciiTheme="minorHAnsi" w:hAnsiTheme="minorHAnsi" w:cstheme="minorHAnsi"/>
          <w:sz w:val="22"/>
          <w:szCs w:val="22"/>
        </w:rPr>
        <w:t>s</w:t>
      </w:r>
      <w:r w:rsidR="00F9648D" w:rsidRPr="00024194">
        <w:rPr>
          <w:rFonts w:asciiTheme="minorHAnsi" w:hAnsiTheme="minorHAnsi" w:cstheme="minorHAnsi"/>
          <w:sz w:val="22"/>
          <w:szCs w:val="22"/>
        </w:rPr>
        <w:t xml:space="preserve"> in asset management; </w:t>
      </w:r>
      <w:r w:rsidR="00E67033" w:rsidRPr="00024194">
        <w:rPr>
          <w:rFonts w:asciiTheme="minorHAnsi" w:hAnsiTheme="minorHAnsi" w:cstheme="minorHAnsi"/>
          <w:sz w:val="22"/>
          <w:szCs w:val="22"/>
        </w:rPr>
        <w:t>the impact of liquidity and price discovery on asset returns</w:t>
      </w:r>
      <w:r w:rsidR="00331432" w:rsidRPr="00024194">
        <w:rPr>
          <w:rFonts w:asciiTheme="minorHAnsi" w:hAnsiTheme="minorHAnsi" w:cstheme="minorHAnsi"/>
          <w:sz w:val="22"/>
          <w:szCs w:val="22"/>
        </w:rPr>
        <w:t>.</w:t>
      </w:r>
      <w:r w:rsidR="00E67033" w:rsidRPr="00024194">
        <w:rPr>
          <w:rFonts w:asciiTheme="minorHAnsi" w:hAnsiTheme="minorHAnsi" w:cstheme="minorHAnsi"/>
          <w:sz w:val="22"/>
          <w:szCs w:val="22"/>
        </w:rPr>
        <w:t xml:space="preserve"> </w:t>
      </w:r>
      <w:r w:rsidR="006E7DA1" w:rsidRPr="00024194">
        <w:rPr>
          <w:rFonts w:asciiTheme="minorHAnsi" w:hAnsiTheme="minorHAnsi" w:cstheme="minorHAnsi"/>
          <w:sz w:val="22"/>
          <w:szCs w:val="22"/>
        </w:rPr>
        <w:t xml:space="preserve">  </w:t>
      </w:r>
      <w:r w:rsidR="00024194" w:rsidRPr="00024194">
        <w:rPr>
          <w:rFonts w:asciiTheme="minorHAnsi" w:hAnsiTheme="minorHAnsi" w:cstheme="minorHAnsi"/>
          <w:sz w:val="22"/>
          <w:szCs w:val="22"/>
        </w:rPr>
        <w:br/>
      </w:r>
      <w:r w:rsidR="00024194" w:rsidRPr="00024194">
        <w:rPr>
          <w:rFonts w:asciiTheme="minorHAnsi" w:hAnsiTheme="minorHAnsi" w:cstheme="minorHAnsi"/>
          <w:b/>
          <w:sz w:val="22"/>
          <w:szCs w:val="22"/>
        </w:rPr>
        <w:t>•</w:t>
      </w:r>
      <w:r w:rsidR="00024194" w:rsidRPr="00024194">
        <w:rPr>
          <w:rFonts w:asciiTheme="minorHAnsi" w:hAnsiTheme="minorHAnsi" w:cstheme="minorHAnsi"/>
          <w:b/>
          <w:sz w:val="22"/>
          <w:szCs w:val="22"/>
        </w:rPr>
        <w:tab/>
      </w:r>
      <w:r w:rsidR="00276D7D" w:rsidRPr="00024194">
        <w:rPr>
          <w:rFonts w:asciiTheme="minorHAnsi" w:hAnsiTheme="minorHAnsi" w:cstheme="minorHAnsi"/>
          <w:b/>
          <w:sz w:val="22"/>
          <w:szCs w:val="22"/>
        </w:rPr>
        <w:t>Corporate finance</w:t>
      </w:r>
      <w:r w:rsidR="00E67033" w:rsidRPr="00024194">
        <w:rPr>
          <w:rFonts w:asciiTheme="minorHAnsi" w:hAnsiTheme="minorHAnsi" w:cstheme="minorHAnsi"/>
          <w:sz w:val="22"/>
          <w:szCs w:val="22"/>
        </w:rPr>
        <w:t>: t</w:t>
      </w:r>
      <w:r w:rsidR="00743BF0" w:rsidRPr="00024194">
        <w:rPr>
          <w:rFonts w:asciiTheme="minorHAnsi" w:hAnsiTheme="minorHAnsi" w:cstheme="minorHAnsi"/>
          <w:sz w:val="22"/>
          <w:szCs w:val="22"/>
        </w:rPr>
        <w:t xml:space="preserve">he impact of </w:t>
      </w:r>
      <w:r w:rsidR="005615E7" w:rsidRPr="00024194">
        <w:rPr>
          <w:rFonts w:asciiTheme="minorHAnsi" w:hAnsiTheme="minorHAnsi" w:cstheme="minorHAnsi"/>
          <w:sz w:val="22"/>
          <w:szCs w:val="22"/>
        </w:rPr>
        <w:t>financial markets</w:t>
      </w:r>
      <w:r w:rsidR="00743BF0" w:rsidRPr="00024194">
        <w:rPr>
          <w:rFonts w:asciiTheme="minorHAnsi" w:hAnsiTheme="minorHAnsi" w:cstheme="minorHAnsi"/>
          <w:sz w:val="22"/>
          <w:szCs w:val="22"/>
        </w:rPr>
        <w:t xml:space="preserve"> and </w:t>
      </w:r>
      <w:r w:rsidR="00E36379" w:rsidRPr="00024194">
        <w:rPr>
          <w:rFonts w:asciiTheme="minorHAnsi" w:hAnsiTheme="minorHAnsi" w:cstheme="minorHAnsi"/>
          <w:sz w:val="22"/>
          <w:szCs w:val="22"/>
        </w:rPr>
        <w:t>the availability of new</w:t>
      </w:r>
      <w:r w:rsidR="00A3779C" w:rsidRPr="00024194">
        <w:rPr>
          <w:rFonts w:asciiTheme="minorHAnsi" w:hAnsiTheme="minorHAnsi" w:cstheme="minorHAnsi"/>
          <w:sz w:val="22"/>
          <w:szCs w:val="22"/>
        </w:rPr>
        <w:t xml:space="preserve"> data sources, such as </w:t>
      </w:r>
      <w:r w:rsidR="00603ADA" w:rsidRPr="00024194">
        <w:rPr>
          <w:rFonts w:asciiTheme="minorHAnsi" w:hAnsiTheme="minorHAnsi" w:cstheme="minorHAnsi"/>
          <w:sz w:val="22"/>
          <w:szCs w:val="22"/>
        </w:rPr>
        <w:t>soci</w:t>
      </w:r>
      <w:r w:rsidR="006C08BE" w:rsidRPr="00024194">
        <w:rPr>
          <w:rFonts w:asciiTheme="minorHAnsi" w:hAnsiTheme="minorHAnsi" w:cstheme="minorHAnsi"/>
          <w:sz w:val="22"/>
          <w:szCs w:val="22"/>
        </w:rPr>
        <w:t>al media and satellite data</w:t>
      </w:r>
      <w:r w:rsidR="00A3779C" w:rsidRPr="00024194">
        <w:rPr>
          <w:rFonts w:asciiTheme="minorHAnsi" w:hAnsiTheme="minorHAnsi" w:cstheme="minorHAnsi"/>
          <w:sz w:val="22"/>
          <w:szCs w:val="22"/>
        </w:rPr>
        <w:t xml:space="preserve">, on corporate decisions; </w:t>
      </w:r>
      <w:r w:rsidR="00743BF0" w:rsidRPr="00024194">
        <w:rPr>
          <w:rFonts w:asciiTheme="minorHAnsi" w:hAnsiTheme="minorHAnsi" w:cstheme="minorHAnsi"/>
          <w:sz w:val="22"/>
          <w:szCs w:val="22"/>
        </w:rPr>
        <w:t xml:space="preserve">feedback effects between firms </w:t>
      </w:r>
      <w:r w:rsidR="00E36379" w:rsidRPr="00024194">
        <w:rPr>
          <w:rFonts w:asciiTheme="minorHAnsi" w:hAnsiTheme="minorHAnsi" w:cstheme="minorHAnsi"/>
          <w:sz w:val="22"/>
          <w:szCs w:val="22"/>
        </w:rPr>
        <w:t>and financial markets</w:t>
      </w:r>
      <w:r w:rsidR="00331432" w:rsidRPr="00024194">
        <w:rPr>
          <w:rFonts w:asciiTheme="minorHAnsi" w:hAnsiTheme="minorHAnsi" w:cstheme="minorHAnsi"/>
          <w:sz w:val="22"/>
          <w:szCs w:val="22"/>
        </w:rPr>
        <w:t xml:space="preserve">. </w:t>
      </w:r>
      <w:r w:rsidR="00276D7D" w:rsidRPr="00024194">
        <w:rPr>
          <w:rFonts w:asciiTheme="minorHAnsi" w:hAnsiTheme="minorHAnsi" w:cstheme="minorHAnsi"/>
          <w:sz w:val="22"/>
          <w:szCs w:val="22"/>
        </w:rPr>
        <w:t xml:space="preserve"> </w:t>
      </w:r>
      <w:r w:rsidR="00024194" w:rsidRPr="00024194">
        <w:rPr>
          <w:rFonts w:asciiTheme="minorHAnsi" w:hAnsiTheme="minorHAnsi" w:cstheme="minorHAnsi"/>
          <w:sz w:val="22"/>
          <w:szCs w:val="22"/>
        </w:rPr>
        <w:br/>
      </w:r>
      <w:r w:rsidR="00024194" w:rsidRPr="00024194">
        <w:rPr>
          <w:rFonts w:asciiTheme="minorHAnsi" w:hAnsiTheme="minorHAnsi" w:cstheme="minorHAnsi"/>
          <w:b/>
          <w:sz w:val="22"/>
          <w:szCs w:val="22"/>
        </w:rPr>
        <w:t>•</w:t>
      </w:r>
      <w:r w:rsidR="00024194" w:rsidRPr="00024194">
        <w:rPr>
          <w:rFonts w:asciiTheme="minorHAnsi" w:hAnsiTheme="minorHAnsi" w:cstheme="minorHAnsi"/>
          <w:b/>
          <w:sz w:val="22"/>
          <w:szCs w:val="22"/>
        </w:rPr>
        <w:tab/>
      </w:r>
      <w:r w:rsidR="00CD5655" w:rsidRPr="00024194">
        <w:rPr>
          <w:rFonts w:asciiTheme="minorHAnsi" w:hAnsiTheme="minorHAnsi" w:cstheme="minorHAnsi"/>
          <w:b/>
          <w:sz w:val="22"/>
          <w:szCs w:val="22"/>
        </w:rPr>
        <w:t xml:space="preserve">Financial </w:t>
      </w:r>
      <w:r w:rsidR="00BE0247" w:rsidRPr="00024194">
        <w:rPr>
          <w:rFonts w:asciiTheme="minorHAnsi" w:hAnsiTheme="minorHAnsi" w:cstheme="minorHAnsi"/>
          <w:b/>
          <w:sz w:val="22"/>
          <w:szCs w:val="22"/>
        </w:rPr>
        <w:t>i</w:t>
      </w:r>
      <w:r w:rsidR="00CD5655" w:rsidRPr="00024194">
        <w:rPr>
          <w:rFonts w:asciiTheme="minorHAnsi" w:hAnsiTheme="minorHAnsi" w:cstheme="minorHAnsi"/>
          <w:b/>
          <w:sz w:val="22"/>
          <w:szCs w:val="22"/>
        </w:rPr>
        <w:t>ntermediation</w:t>
      </w:r>
      <w:r w:rsidR="00CD5655" w:rsidRPr="00024194">
        <w:rPr>
          <w:rFonts w:asciiTheme="minorHAnsi" w:hAnsiTheme="minorHAnsi" w:cstheme="minorHAnsi"/>
          <w:sz w:val="22"/>
          <w:szCs w:val="22"/>
        </w:rPr>
        <w:t xml:space="preserve">:  </w:t>
      </w:r>
      <w:r w:rsidR="00BE0247" w:rsidRPr="00024194">
        <w:rPr>
          <w:rFonts w:asciiTheme="minorHAnsi" w:hAnsiTheme="minorHAnsi" w:cstheme="minorHAnsi"/>
          <w:sz w:val="22"/>
          <w:szCs w:val="22"/>
        </w:rPr>
        <w:t>the analysis of credit or systemic risk using</w:t>
      </w:r>
      <w:r w:rsidR="00B82576" w:rsidRPr="00024194">
        <w:rPr>
          <w:rFonts w:asciiTheme="minorHAnsi" w:hAnsiTheme="minorHAnsi" w:cstheme="minorHAnsi"/>
          <w:sz w:val="22"/>
          <w:szCs w:val="22"/>
        </w:rPr>
        <w:t xml:space="preserve"> big data;</w:t>
      </w:r>
      <w:r w:rsidR="00BE0247" w:rsidRPr="00024194">
        <w:rPr>
          <w:rFonts w:asciiTheme="minorHAnsi" w:hAnsiTheme="minorHAnsi" w:cstheme="minorHAnsi"/>
          <w:sz w:val="22"/>
          <w:szCs w:val="22"/>
        </w:rPr>
        <w:t xml:space="preserve"> </w:t>
      </w:r>
      <w:r w:rsidR="00B82576" w:rsidRPr="00024194">
        <w:rPr>
          <w:rFonts w:asciiTheme="minorHAnsi" w:hAnsiTheme="minorHAnsi" w:cstheme="minorHAnsi"/>
          <w:sz w:val="22"/>
          <w:szCs w:val="22"/>
        </w:rPr>
        <w:t>t</w:t>
      </w:r>
      <w:r w:rsidR="00811C62" w:rsidRPr="00024194">
        <w:rPr>
          <w:rFonts w:asciiTheme="minorHAnsi" w:hAnsiTheme="minorHAnsi" w:cstheme="minorHAnsi"/>
          <w:sz w:val="22"/>
          <w:szCs w:val="22"/>
        </w:rPr>
        <w:t>he implication of big data for financial stability</w:t>
      </w:r>
      <w:r w:rsidR="00B84AC5" w:rsidRPr="00024194">
        <w:rPr>
          <w:rFonts w:asciiTheme="minorHAnsi" w:hAnsiTheme="minorHAnsi" w:cstheme="minorHAnsi"/>
          <w:sz w:val="22"/>
          <w:szCs w:val="22"/>
        </w:rPr>
        <w:t xml:space="preserve"> and regulation</w:t>
      </w:r>
      <w:r w:rsidR="00811C62" w:rsidRPr="00024194">
        <w:rPr>
          <w:rFonts w:asciiTheme="minorHAnsi" w:hAnsiTheme="minorHAnsi" w:cstheme="minorHAnsi"/>
          <w:sz w:val="22"/>
          <w:szCs w:val="22"/>
        </w:rPr>
        <w:t xml:space="preserve">. </w:t>
      </w:r>
      <w:r w:rsidR="00024194" w:rsidRPr="00024194">
        <w:rPr>
          <w:rFonts w:asciiTheme="minorHAnsi" w:hAnsiTheme="minorHAnsi" w:cstheme="minorHAnsi"/>
          <w:sz w:val="22"/>
          <w:szCs w:val="22"/>
        </w:rPr>
        <w:br/>
      </w:r>
      <w:r w:rsidR="00024194" w:rsidRPr="00024194">
        <w:rPr>
          <w:rFonts w:asciiTheme="minorHAnsi" w:hAnsiTheme="minorHAnsi" w:cstheme="minorHAnsi"/>
          <w:sz w:val="22"/>
          <w:szCs w:val="22"/>
        </w:rPr>
        <w:br/>
      </w:r>
      <w:r w:rsidR="00720BF2" w:rsidRPr="00024194">
        <w:rPr>
          <w:rFonts w:asciiTheme="minorHAnsi" w:hAnsiTheme="minorHAnsi" w:cstheme="minorHAnsi"/>
          <w:sz w:val="22"/>
          <w:szCs w:val="22"/>
        </w:rPr>
        <w:tab/>
      </w:r>
      <w:r w:rsidR="00CB5AFF" w:rsidRPr="00024194">
        <w:rPr>
          <w:rFonts w:asciiTheme="minorHAnsi" w:hAnsiTheme="minorHAnsi" w:cstheme="minorHAnsi"/>
          <w:sz w:val="22"/>
          <w:szCs w:val="22"/>
        </w:rPr>
        <w:t>The organizers welcome submissions of both empirical and theoretical research</w:t>
      </w:r>
      <w:r w:rsidR="00720BF2" w:rsidRPr="00024194">
        <w:rPr>
          <w:rFonts w:asciiTheme="minorHAnsi" w:hAnsiTheme="minorHAnsi" w:cstheme="minorHAnsi"/>
          <w:sz w:val="22"/>
          <w:szCs w:val="22"/>
        </w:rPr>
        <w:t xml:space="preserve"> papers</w:t>
      </w:r>
      <w:r w:rsidR="00CB5AFF" w:rsidRPr="00024194">
        <w:rPr>
          <w:rFonts w:asciiTheme="minorHAnsi" w:hAnsiTheme="minorHAnsi" w:cstheme="minorHAnsi"/>
          <w:sz w:val="22"/>
          <w:szCs w:val="22"/>
        </w:rPr>
        <w:t>, and encourage submissions from scholars who are early in their careers, who are not NBER affiliates, and who are from groups that are under-represented in the financial economics profession.  To be considered for inclusion on the program, papers must be uploaded by Sunday, December 16, 2018 to:</w:t>
      </w:r>
      <w:r w:rsidR="00024194" w:rsidRPr="00024194">
        <w:rPr>
          <w:rFonts w:asciiTheme="minorHAnsi" w:hAnsiTheme="minorHAnsi" w:cstheme="minorHAnsi"/>
          <w:sz w:val="22"/>
          <w:szCs w:val="22"/>
        </w:rPr>
        <w:br/>
      </w:r>
      <w:r w:rsidR="00024194">
        <w:rPr>
          <w:rStyle w:val="Hyperlink"/>
          <w:rFonts w:asciiTheme="minorHAnsi" w:hAnsiTheme="minorHAnsi" w:cstheme="minorHAnsi"/>
          <w:szCs w:val="22"/>
        </w:rPr>
        <w:br/>
      </w:r>
      <w:hyperlink r:id="rId7" w:history="1">
        <w:r w:rsidR="00470786" w:rsidRPr="00A465C3">
          <w:rPr>
            <w:rStyle w:val="Hyperlink"/>
            <w:rFonts w:asciiTheme="minorHAnsi" w:eastAsia="Times New Roman" w:hAnsiTheme="minorHAnsi" w:cstheme="minorHAnsi"/>
            <w:sz w:val="22"/>
            <w:szCs w:val="22"/>
            <w:lang w:eastAsia="en-US"/>
          </w:rPr>
          <w:t>http://conference.nber.org/confer/2019/BDFMs19/call.html</w:t>
        </w:r>
      </w:hyperlink>
      <w:r w:rsidR="00470786">
        <w:rPr>
          <w:rFonts w:asciiTheme="minorHAnsi" w:eastAsia="Times New Roman" w:hAnsiTheme="minorHAnsi" w:cstheme="minorHAnsi"/>
          <w:color w:val="0000EE"/>
          <w:sz w:val="22"/>
          <w:szCs w:val="22"/>
          <w:u w:val="single"/>
          <w:lang w:eastAsia="en-US"/>
        </w:rPr>
        <w:br/>
      </w:r>
      <w:r w:rsidR="00024194" w:rsidRPr="00024194">
        <w:br/>
      </w:r>
      <w:bookmarkStart w:id="0" w:name="_GoBack"/>
      <w:bookmarkEnd w:id="0"/>
      <w:r w:rsidR="009D724D">
        <w:rPr>
          <w:rFonts w:asciiTheme="minorHAnsi" w:hAnsiTheme="minorHAnsi" w:cstheme="minorHAnsi"/>
          <w:sz w:val="22"/>
          <w:szCs w:val="22"/>
        </w:rPr>
        <w:tab/>
      </w:r>
      <w:r w:rsidR="00CB5AFF" w:rsidRPr="00024194">
        <w:rPr>
          <w:rFonts w:asciiTheme="minorHAnsi" w:hAnsiTheme="minorHAnsi" w:cstheme="minorHAnsi"/>
          <w:sz w:val="22"/>
          <w:szCs w:val="22"/>
        </w:rPr>
        <w:t xml:space="preserve">Papers that have already been accepted for publication and that will be published by the time of the conference are not eligible for presentation. Authors chosen to present papers will be notified in January, 2019.  </w:t>
      </w:r>
      <w:r w:rsidR="00024194" w:rsidRPr="00024194">
        <w:rPr>
          <w:rFonts w:asciiTheme="minorHAnsi" w:hAnsiTheme="minorHAnsi" w:cstheme="minorHAnsi"/>
          <w:sz w:val="22"/>
          <w:szCs w:val="22"/>
        </w:rPr>
        <w:br/>
      </w:r>
      <w:r w:rsidR="00024194" w:rsidRPr="00024194">
        <w:rPr>
          <w:rFonts w:asciiTheme="minorHAnsi" w:hAnsiTheme="minorHAnsi" w:cstheme="minorHAnsi"/>
          <w:sz w:val="22"/>
          <w:szCs w:val="22"/>
        </w:rPr>
        <w:br/>
      </w:r>
      <w:r w:rsidR="00720BF2" w:rsidRPr="00024194">
        <w:rPr>
          <w:rFonts w:asciiTheme="minorHAnsi" w:hAnsiTheme="minorHAnsi" w:cstheme="minorHAnsi"/>
          <w:sz w:val="22"/>
          <w:szCs w:val="22"/>
        </w:rPr>
        <w:tab/>
      </w:r>
      <w:r w:rsidR="00CB5AFF" w:rsidRPr="00024194">
        <w:rPr>
          <w:rFonts w:asciiTheme="minorHAnsi" w:hAnsiTheme="minorHAnsi" w:cstheme="minorHAnsi"/>
          <w:sz w:val="22"/>
          <w:szCs w:val="22"/>
        </w:rPr>
        <w:t xml:space="preserve">Papers that are submitted for presentation at the conference may also be submitted to the </w:t>
      </w:r>
      <w:r w:rsidR="00D8029E" w:rsidRPr="00024194">
        <w:rPr>
          <w:rFonts w:asciiTheme="minorHAnsi" w:hAnsiTheme="minorHAnsi" w:cstheme="minorHAnsi"/>
          <w:sz w:val="22"/>
          <w:szCs w:val="22"/>
        </w:rPr>
        <w:t>Review of Financial Studies</w:t>
      </w:r>
      <w:r w:rsidR="00D8029E" w:rsidRPr="00024194">
        <w:rPr>
          <w:rFonts w:asciiTheme="minorHAnsi" w:hAnsiTheme="minorHAnsi" w:cstheme="minorHAnsi"/>
          <w:b/>
          <w:sz w:val="22"/>
          <w:szCs w:val="22"/>
        </w:rPr>
        <w:t xml:space="preserve"> </w:t>
      </w:r>
      <w:r w:rsidR="00CB5AFF" w:rsidRPr="00024194">
        <w:rPr>
          <w:rFonts w:asciiTheme="minorHAnsi" w:hAnsiTheme="minorHAnsi" w:cstheme="minorHAnsi"/>
          <w:sz w:val="22"/>
          <w:szCs w:val="22"/>
        </w:rPr>
        <w:t>und</w:t>
      </w:r>
      <w:r w:rsidR="00D8029E" w:rsidRPr="00024194">
        <w:rPr>
          <w:rFonts w:asciiTheme="minorHAnsi" w:hAnsiTheme="minorHAnsi" w:cstheme="minorHAnsi"/>
          <w:sz w:val="22"/>
          <w:szCs w:val="22"/>
        </w:rPr>
        <w:t>er its dual review system at no extra cost. Papers rejected at any stage of the dual review process are not considered to have been “rejected” at the RFS</w:t>
      </w:r>
      <w:r w:rsidR="00CB5AFF" w:rsidRPr="00024194">
        <w:rPr>
          <w:rFonts w:asciiTheme="minorHAnsi" w:hAnsiTheme="minorHAnsi" w:cstheme="minorHAnsi"/>
          <w:sz w:val="22"/>
          <w:szCs w:val="22"/>
        </w:rPr>
        <w:t xml:space="preserve">, which means that the authors may </w:t>
      </w:r>
      <w:r w:rsidR="00D8029E" w:rsidRPr="00024194">
        <w:rPr>
          <w:rFonts w:asciiTheme="minorHAnsi" w:hAnsiTheme="minorHAnsi" w:cstheme="minorHAnsi"/>
          <w:sz w:val="22"/>
          <w:szCs w:val="22"/>
        </w:rPr>
        <w:t xml:space="preserve">submit a future version of </w:t>
      </w:r>
      <w:r w:rsidR="00F23866" w:rsidRPr="00024194">
        <w:rPr>
          <w:rFonts w:asciiTheme="minorHAnsi" w:hAnsiTheme="minorHAnsi" w:cstheme="minorHAnsi"/>
          <w:sz w:val="22"/>
          <w:szCs w:val="22"/>
        </w:rPr>
        <w:t xml:space="preserve">the paper to </w:t>
      </w:r>
      <w:r w:rsidR="00D8029E" w:rsidRPr="00024194">
        <w:rPr>
          <w:rFonts w:asciiTheme="minorHAnsi" w:hAnsiTheme="minorHAnsi" w:cstheme="minorHAnsi"/>
          <w:sz w:val="22"/>
          <w:szCs w:val="22"/>
        </w:rPr>
        <w:t>the</w:t>
      </w:r>
      <w:r w:rsidR="00CB5AFF" w:rsidRPr="00024194">
        <w:rPr>
          <w:rFonts w:asciiTheme="minorHAnsi" w:hAnsiTheme="minorHAnsi" w:cstheme="minorHAnsi"/>
          <w:sz w:val="22"/>
          <w:szCs w:val="22"/>
        </w:rPr>
        <w:t xml:space="preserve"> journal even if the paper is not accepted in connection with the conference.  For a paper to be considered under the dual submission option, it may</w:t>
      </w:r>
      <w:r w:rsidR="00D8029E" w:rsidRPr="00024194">
        <w:rPr>
          <w:rFonts w:asciiTheme="minorHAnsi" w:hAnsiTheme="minorHAnsi" w:cstheme="minorHAnsi"/>
          <w:sz w:val="22"/>
          <w:szCs w:val="22"/>
        </w:rPr>
        <w:t xml:space="preserve"> not be under review at or under invited revision </w:t>
      </w:r>
      <w:r w:rsidR="00CB5AFF" w:rsidRPr="00024194">
        <w:rPr>
          <w:rFonts w:asciiTheme="minorHAnsi" w:hAnsiTheme="minorHAnsi" w:cstheme="minorHAnsi"/>
          <w:sz w:val="22"/>
          <w:szCs w:val="22"/>
        </w:rPr>
        <w:t>f</w:t>
      </w:r>
      <w:r w:rsidR="00D8029E" w:rsidRPr="00024194">
        <w:rPr>
          <w:rFonts w:asciiTheme="minorHAnsi" w:hAnsiTheme="minorHAnsi" w:cstheme="minorHAnsi"/>
          <w:sz w:val="22"/>
          <w:szCs w:val="22"/>
        </w:rPr>
        <w:t xml:space="preserve">rom any journal, including the </w:t>
      </w:r>
      <w:r w:rsidR="00CB5AFF" w:rsidRPr="00024194">
        <w:rPr>
          <w:rFonts w:asciiTheme="minorHAnsi" w:hAnsiTheme="minorHAnsi" w:cstheme="minorHAnsi"/>
          <w:sz w:val="22"/>
          <w:szCs w:val="22"/>
        </w:rPr>
        <w:t xml:space="preserve">RFS </w:t>
      </w:r>
      <w:r w:rsidR="00D8029E" w:rsidRPr="00024194">
        <w:rPr>
          <w:rFonts w:asciiTheme="minorHAnsi" w:hAnsiTheme="minorHAnsi" w:cstheme="minorHAnsi"/>
          <w:sz w:val="22"/>
          <w:szCs w:val="22"/>
        </w:rPr>
        <w:t xml:space="preserve">until the author has </w:t>
      </w:r>
      <w:r w:rsidR="00D8029E" w:rsidRPr="00024194">
        <w:rPr>
          <w:rFonts w:asciiTheme="minorHAnsi" w:hAnsiTheme="minorHAnsi" w:cstheme="minorHAnsi"/>
          <w:noProof/>
          <w:sz w:val="22"/>
          <w:szCs w:val="22"/>
        </w:rPr>
        <w:t>been notified</w:t>
      </w:r>
      <w:r w:rsidR="00D8029E" w:rsidRPr="00024194">
        <w:rPr>
          <w:rFonts w:asciiTheme="minorHAnsi" w:hAnsiTheme="minorHAnsi" w:cstheme="minorHAnsi"/>
          <w:sz w:val="22"/>
          <w:szCs w:val="22"/>
        </w:rPr>
        <w:t xml:space="preserve"> of the outcome of the dual submission process. The details of the dual submission program </w:t>
      </w:r>
      <w:r w:rsidR="00CB5AFF" w:rsidRPr="00024194">
        <w:rPr>
          <w:rFonts w:asciiTheme="minorHAnsi" w:hAnsiTheme="minorHAnsi" w:cstheme="minorHAnsi"/>
          <w:sz w:val="22"/>
          <w:szCs w:val="22"/>
        </w:rPr>
        <w:t xml:space="preserve">may be found at </w:t>
      </w:r>
      <w:r w:rsidR="00D8029E" w:rsidRPr="00024194">
        <w:rPr>
          <w:rStyle w:val="Hyperlink"/>
          <w:rFonts w:asciiTheme="minorHAnsi" w:hAnsiTheme="minorHAnsi" w:cstheme="minorHAnsi"/>
          <w:sz w:val="22"/>
          <w:szCs w:val="22"/>
        </w:rPr>
        <w:t>http://sfs.org/dualsubmissionpolicy</w:t>
      </w:r>
      <w:r w:rsidR="00D8029E" w:rsidRPr="00024194">
        <w:rPr>
          <w:rFonts w:asciiTheme="minorHAnsi" w:hAnsiTheme="minorHAnsi" w:cstheme="minorHAnsi"/>
          <w:sz w:val="22"/>
          <w:szCs w:val="22"/>
        </w:rPr>
        <w:t>.</w:t>
      </w:r>
      <w:r w:rsidR="00024194" w:rsidRPr="00024194">
        <w:rPr>
          <w:rFonts w:asciiTheme="minorHAnsi" w:hAnsiTheme="minorHAnsi" w:cstheme="minorHAnsi"/>
          <w:sz w:val="22"/>
          <w:szCs w:val="22"/>
        </w:rPr>
        <w:br/>
      </w:r>
      <w:r w:rsidR="00024194" w:rsidRPr="00024194">
        <w:rPr>
          <w:rFonts w:asciiTheme="minorHAnsi" w:hAnsiTheme="minorHAnsi" w:cstheme="minorHAnsi"/>
          <w:sz w:val="22"/>
          <w:szCs w:val="22"/>
        </w:rPr>
        <w:br/>
      </w:r>
      <w:r w:rsidR="00720BF2" w:rsidRPr="00024194">
        <w:rPr>
          <w:rFonts w:asciiTheme="minorHAnsi" w:hAnsiTheme="minorHAnsi" w:cstheme="minorHAnsi"/>
          <w:sz w:val="22"/>
          <w:szCs w:val="22"/>
        </w:rPr>
        <w:tab/>
        <w:t>The NBER will cover the cost of economy class travel to attend the conference, as well as hotel expenses, for two authors per paper.  Questions about this meeting may be addressed to confer@nber.org.</w:t>
      </w:r>
      <w:r w:rsidR="00024194" w:rsidRPr="00024194">
        <w:rPr>
          <w:rFonts w:asciiTheme="minorHAnsi" w:hAnsiTheme="minorHAnsi" w:cstheme="minorHAnsi"/>
          <w:sz w:val="22"/>
          <w:szCs w:val="22"/>
        </w:rPr>
        <w:br/>
      </w:r>
    </w:p>
    <w:sectPr w:rsidR="00720BF2" w:rsidRPr="00024194" w:rsidSect="00024194">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883A5" w14:textId="77777777" w:rsidR="00F61153" w:rsidRDefault="00F61153" w:rsidP="004900D8">
      <w:r>
        <w:separator/>
      </w:r>
    </w:p>
  </w:endnote>
  <w:endnote w:type="continuationSeparator" w:id="0">
    <w:p w14:paraId="26418CBC" w14:textId="77777777" w:rsidR="00F61153" w:rsidRDefault="00F61153" w:rsidP="0049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4C7F9" w14:textId="0CE9C38B" w:rsidR="007440D4" w:rsidRDefault="00024194">
    <w:pPr>
      <w:pStyle w:val="Footer"/>
    </w:pPr>
    <w:r>
      <w:br/>
    </w:r>
    <w: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5AB87" w14:textId="77777777" w:rsidR="00F61153" w:rsidRDefault="00F61153" w:rsidP="004900D8">
      <w:r>
        <w:separator/>
      </w:r>
    </w:p>
  </w:footnote>
  <w:footnote w:type="continuationSeparator" w:id="0">
    <w:p w14:paraId="6219283B" w14:textId="77777777" w:rsidR="00F61153" w:rsidRDefault="00F61153" w:rsidP="004900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386468"/>
    <w:multiLevelType w:val="hybridMultilevel"/>
    <w:tmpl w:val="7C0EA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920800"/>
    <w:multiLevelType w:val="hybridMultilevel"/>
    <w:tmpl w:val="AA5CFEF2"/>
    <w:lvl w:ilvl="0" w:tplc="04090001">
      <w:start w:val="1"/>
      <w:numFmt w:val="bullet"/>
      <w:lvlText w:val=""/>
      <w:lvlJc w:val="left"/>
      <w:pPr>
        <w:ind w:left="778" w:hanging="360"/>
      </w:pPr>
      <w:rPr>
        <w:rFonts w:ascii="Symbol" w:hAnsi="Symbol" w:hint="default"/>
      </w:rPr>
    </w:lvl>
    <w:lvl w:ilvl="1" w:tplc="063A3A06">
      <w:start w:val="1"/>
      <w:numFmt w:val="bullet"/>
      <w:lvlText w:val="o"/>
      <w:lvlJc w:val="left"/>
      <w:pPr>
        <w:ind w:left="1498" w:hanging="360"/>
      </w:pPr>
      <w:rPr>
        <w:rFonts w:ascii="Courier New" w:hAnsi="Courier New" w:cs="Courier New" w:hint="default"/>
        <w:strike w:val="0"/>
      </w:rPr>
    </w:lvl>
    <w:lvl w:ilvl="2" w:tplc="04090005">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NTOxNDIyMDK2MLVQ0lEKTi0uzszPAykwNK8FADG0+RUtAAAA"/>
  </w:docVars>
  <w:rsids>
    <w:rsidRoot w:val="0088663A"/>
    <w:rsid w:val="00001C8C"/>
    <w:rsid w:val="0000244D"/>
    <w:rsid w:val="00013689"/>
    <w:rsid w:val="00024194"/>
    <w:rsid w:val="0005201A"/>
    <w:rsid w:val="000577F0"/>
    <w:rsid w:val="00072665"/>
    <w:rsid w:val="00085B07"/>
    <w:rsid w:val="00092E6C"/>
    <w:rsid w:val="0009549B"/>
    <w:rsid w:val="000A65FF"/>
    <w:rsid w:val="000B6618"/>
    <w:rsid w:val="000E3D5F"/>
    <w:rsid w:val="000F5E53"/>
    <w:rsid w:val="00110C33"/>
    <w:rsid w:val="001152EA"/>
    <w:rsid w:val="00116BF2"/>
    <w:rsid w:val="00116C26"/>
    <w:rsid w:val="001201B9"/>
    <w:rsid w:val="00147D5F"/>
    <w:rsid w:val="00156541"/>
    <w:rsid w:val="00173A56"/>
    <w:rsid w:val="00217072"/>
    <w:rsid w:val="0022645B"/>
    <w:rsid w:val="0023645B"/>
    <w:rsid w:val="00253B0F"/>
    <w:rsid w:val="00276D7D"/>
    <w:rsid w:val="00280C42"/>
    <w:rsid w:val="002A5D73"/>
    <w:rsid w:val="002A75FD"/>
    <w:rsid w:val="002A788B"/>
    <w:rsid w:val="002B12E6"/>
    <w:rsid w:val="002F0010"/>
    <w:rsid w:val="003010E9"/>
    <w:rsid w:val="0030747F"/>
    <w:rsid w:val="00311470"/>
    <w:rsid w:val="00315F68"/>
    <w:rsid w:val="00324B9A"/>
    <w:rsid w:val="00331432"/>
    <w:rsid w:val="0034176F"/>
    <w:rsid w:val="0034401C"/>
    <w:rsid w:val="00346CEB"/>
    <w:rsid w:val="00374F5F"/>
    <w:rsid w:val="00380EF4"/>
    <w:rsid w:val="00384579"/>
    <w:rsid w:val="00391928"/>
    <w:rsid w:val="003B4CCE"/>
    <w:rsid w:val="003B7A46"/>
    <w:rsid w:val="003C6053"/>
    <w:rsid w:val="003D0943"/>
    <w:rsid w:val="004046E0"/>
    <w:rsid w:val="00425082"/>
    <w:rsid w:val="00433311"/>
    <w:rsid w:val="0044370B"/>
    <w:rsid w:val="004603EA"/>
    <w:rsid w:val="00467BC3"/>
    <w:rsid w:val="004705C3"/>
    <w:rsid w:val="00470786"/>
    <w:rsid w:val="00482D45"/>
    <w:rsid w:val="004900D8"/>
    <w:rsid w:val="00493265"/>
    <w:rsid w:val="0049453A"/>
    <w:rsid w:val="004D08FD"/>
    <w:rsid w:val="004F088C"/>
    <w:rsid w:val="004F5979"/>
    <w:rsid w:val="00510D9E"/>
    <w:rsid w:val="005225F2"/>
    <w:rsid w:val="00530122"/>
    <w:rsid w:val="00540543"/>
    <w:rsid w:val="00554E73"/>
    <w:rsid w:val="005615E7"/>
    <w:rsid w:val="00563E73"/>
    <w:rsid w:val="00565F05"/>
    <w:rsid w:val="005855BA"/>
    <w:rsid w:val="00595945"/>
    <w:rsid w:val="005A4369"/>
    <w:rsid w:val="005D6E02"/>
    <w:rsid w:val="00603ADA"/>
    <w:rsid w:val="006059E9"/>
    <w:rsid w:val="00610572"/>
    <w:rsid w:val="00624165"/>
    <w:rsid w:val="00626A05"/>
    <w:rsid w:val="006329D0"/>
    <w:rsid w:val="00661272"/>
    <w:rsid w:val="0066262E"/>
    <w:rsid w:val="0066341A"/>
    <w:rsid w:val="0066544D"/>
    <w:rsid w:val="00690A27"/>
    <w:rsid w:val="0069371B"/>
    <w:rsid w:val="006A6A86"/>
    <w:rsid w:val="006B4358"/>
    <w:rsid w:val="006C08BE"/>
    <w:rsid w:val="006C388C"/>
    <w:rsid w:val="006C38F5"/>
    <w:rsid w:val="006E7DA1"/>
    <w:rsid w:val="00720BF2"/>
    <w:rsid w:val="007243F5"/>
    <w:rsid w:val="00737B3E"/>
    <w:rsid w:val="00743BF0"/>
    <w:rsid w:val="007440D4"/>
    <w:rsid w:val="007670B3"/>
    <w:rsid w:val="007773DF"/>
    <w:rsid w:val="00790F31"/>
    <w:rsid w:val="007C78B9"/>
    <w:rsid w:val="00803F2A"/>
    <w:rsid w:val="00811C62"/>
    <w:rsid w:val="00812D7A"/>
    <w:rsid w:val="0085366B"/>
    <w:rsid w:val="00860BAA"/>
    <w:rsid w:val="00863C2D"/>
    <w:rsid w:val="008652D5"/>
    <w:rsid w:val="00873B74"/>
    <w:rsid w:val="0088663A"/>
    <w:rsid w:val="008E4862"/>
    <w:rsid w:val="008F11F8"/>
    <w:rsid w:val="00915817"/>
    <w:rsid w:val="00924FAC"/>
    <w:rsid w:val="00974D2F"/>
    <w:rsid w:val="00984010"/>
    <w:rsid w:val="009A616A"/>
    <w:rsid w:val="009A670D"/>
    <w:rsid w:val="009B0A90"/>
    <w:rsid w:val="009C264B"/>
    <w:rsid w:val="009C59CA"/>
    <w:rsid w:val="009D724D"/>
    <w:rsid w:val="00A02AA8"/>
    <w:rsid w:val="00A0480B"/>
    <w:rsid w:val="00A17B8F"/>
    <w:rsid w:val="00A276C4"/>
    <w:rsid w:val="00A34B61"/>
    <w:rsid w:val="00A3779C"/>
    <w:rsid w:val="00A45A3C"/>
    <w:rsid w:val="00A528B9"/>
    <w:rsid w:val="00AA06D3"/>
    <w:rsid w:val="00AA1C3E"/>
    <w:rsid w:val="00AB0CA5"/>
    <w:rsid w:val="00AE0681"/>
    <w:rsid w:val="00AE730A"/>
    <w:rsid w:val="00AF19E1"/>
    <w:rsid w:val="00AF39A0"/>
    <w:rsid w:val="00AF3A3B"/>
    <w:rsid w:val="00AF3F3C"/>
    <w:rsid w:val="00AF6D83"/>
    <w:rsid w:val="00B82576"/>
    <w:rsid w:val="00B84AC5"/>
    <w:rsid w:val="00B92370"/>
    <w:rsid w:val="00BD2B94"/>
    <w:rsid w:val="00BD5868"/>
    <w:rsid w:val="00BE0247"/>
    <w:rsid w:val="00BF3C04"/>
    <w:rsid w:val="00BF5741"/>
    <w:rsid w:val="00C11D7C"/>
    <w:rsid w:val="00C1699D"/>
    <w:rsid w:val="00C229C5"/>
    <w:rsid w:val="00C30FB9"/>
    <w:rsid w:val="00C33651"/>
    <w:rsid w:val="00C50342"/>
    <w:rsid w:val="00C75FB4"/>
    <w:rsid w:val="00C822C1"/>
    <w:rsid w:val="00C90FB4"/>
    <w:rsid w:val="00CA68FC"/>
    <w:rsid w:val="00CA69AF"/>
    <w:rsid w:val="00CB058B"/>
    <w:rsid w:val="00CB3BCA"/>
    <w:rsid w:val="00CB3D20"/>
    <w:rsid w:val="00CB5AFF"/>
    <w:rsid w:val="00CC2443"/>
    <w:rsid w:val="00CC2C22"/>
    <w:rsid w:val="00CC59B1"/>
    <w:rsid w:val="00CD5655"/>
    <w:rsid w:val="00CE0323"/>
    <w:rsid w:val="00D0700A"/>
    <w:rsid w:val="00D55E73"/>
    <w:rsid w:val="00D60DC3"/>
    <w:rsid w:val="00D8029E"/>
    <w:rsid w:val="00D864B7"/>
    <w:rsid w:val="00D92696"/>
    <w:rsid w:val="00DA0F47"/>
    <w:rsid w:val="00DA1482"/>
    <w:rsid w:val="00DA55CD"/>
    <w:rsid w:val="00DB74AD"/>
    <w:rsid w:val="00DF6C90"/>
    <w:rsid w:val="00E034B5"/>
    <w:rsid w:val="00E10F14"/>
    <w:rsid w:val="00E12BE1"/>
    <w:rsid w:val="00E1653F"/>
    <w:rsid w:val="00E219BF"/>
    <w:rsid w:val="00E21CD3"/>
    <w:rsid w:val="00E36379"/>
    <w:rsid w:val="00E67033"/>
    <w:rsid w:val="00E7019F"/>
    <w:rsid w:val="00E826BE"/>
    <w:rsid w:val="00E85E16"/>
    <w:rsid w:val="00E95F56"/>
    <w:rsid w:val="00F1785E"/>
    <w:rsid w:val="00F23866"/>
    <w:rsid w:val="00F441C3"/>
    <w:rsid w:val="00F44D44"/>
    <w:rsid w:val="00F535D0"/>
    <w:rsid w:val="00F61153"/>
    <w:rsid w:val="00F70AB8"/>
    <w:rsid w:val="00F831BD"/>
    <w:rsid w:val="00F8386D"/>
    <w:rsid w:val="00F87D47"/>
    <w:rsid w:val="00F93563"/>
    <w:rsid w:val="00F96462"/>
    <w:rsid w:val="00F9648D"/>
    <w:rsid w:val="00FA2D7B"/>
    <w:rsid w:val="00FA659A"/>
    <w:rsid w:val="00FB187B"/>
    <w:rsid w:val="00FB7219"/>
    <w:rsid w:val="00FC1B11"/>
    <w:rsid w:val="00FC2CFA"/>
    <w:rsid w:val="00FD717E"/>
    <w:rsid w:val="00FE7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7906"/>
  <w15:docId w15:val="{645FF2A1-BE71-4154-BA1A-8CE7EF6D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64B"/>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semiHidden/>
    <w:unhideWhenUsed/>
    <w:qFormat/>
    <w:rsid w:val="004900D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264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A0F47"/>
    <w:pPr>
      <w:ind w:left="720"/>
      <w:contextualSpacing/>
    </w:pPr>
  </w:style>
  <w:style w:type="character" w:styleId="Hyperlink">
    <w:name w:val="Hyperlink"/>
    <w:basedOn w:val="DefaultParagraphFont"/>
    <w:uiPriority w:val="99"/>
    <w:unhideWhenUsed/>
    <w:rsid w:val="000B6618"/>
    <w:rPr>
      <w:color w:val="0563C1" w:themeColor="hyperlink"/>
      <w:u w:val="single"/>
    </w:rPr>
  </w:style>
  <w:style w:type="paragraph" w:styleId="PlainText">
    <w:name w:val="Plain Text"/>
    <w:basedOn w:val="Normal"/>
    <w:link w:val="PlainTextChar"/>
    <w:uiPriority w:val="99"/>
    <w:unhideWhenUsed/>
    <w:rsid w:val="00F70AB8"/>
    <w:rPr>
      <w:rFonts w:ascii="Calibri" w:hAnsi="Calibri" w:cs="Consolas"/>
      <w:sz w:val="22"/>
      <w:szCs w:val="21"/>
    </w:rPr>
  </w:style>
  <w:style w:type="character" w:customStyle="1" w:styleId="PlainTextChar">
    <w:name w:val="Plain Text Char"/>
    <w:basedOn w:val="DefaultParagraphFont"/>
    <w:link w:val="PlainText"/>
    <w:uiPriority w:val="99"/>
    <w:rsid w:val="00F70AB8"/>
    <w:rPr>
      <w:rFonts w:ascii="Calibri" w:hAnsi="Calibri" w:cs="Consolas"/>
      <w:szCs w:val="21"/>
    </w:rPr>
  </w:style>
  <w:style w:type="paragraph" w:styleId="Header">
    <w:name w:val="header"/>
    <w:basedOn w:val="Normal"/>
    <w:link w:val="HeaderChar"/>
    <w:uiPriority w:val="99"/>
    <w:unhideWhenUsed/>
    <w:rsid w:val="004900D8"/>
    <w:pPr>
      <w:tabs>
        <w:tab w:val="center" w:pos="4680"/>
        <w:tab w:val="right" w:pos="9360"/>
      </w:tabs>
    </w:pPr>
  </w:style>
  <w:style w:type="character" w:customStyle="1" w:styleId="HeaderChar">
    <w:name w:val="Header Char"/>
    <w:basedOn w:val="DefaultParagraphFont"/>
    <w:link w:val="Header"/>
    <w:uiPriority w:val="99"/>
    <w:rsid w:val="004900D8"/>
    <w:rPr>
      <w:rFonts w:ascii="Times New Roman" w:hAnsi="Times New Roman" w:cs="Times New Roman"/>
      <w:sz w:val="24"/>
      <w:szCs w:val="24"/>
    </w:rPr>
  </w:style>
  <w:style w:type="paragraph" w:styleId="Footer">
    <w:name w:val="footer"/>
    <w:basedOn w:val="Normal"/>
    <w:link w:val="FooterChar"/>
    <w:uiPriority w:val="99"/>
    <w:unhideWhenUsed/>
    <w:rsid w:val="004900D8"/>
    <w:pPr>
      <w:tabs>
        <w:tab w:val="center" w:pos="4680"/>
        <w:tab w:val="right" w:pos="9360"/>
      </w:tabs>
    </w:pPr>
  </w:style>
  <w:style w:type="character" w:customStyle="1" w:styleId="FooterChar">
    <w:name w:val="Footer Char"/>
    <w:basedOn w:val="DefaultParagraphFont"/>
    <w:link w:val="Footer"/>
    <w:uiPriority w:val="99"/>
    <w:rsid w:val="004900D8"/>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4900D8"/>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554E73"/>
    <w:rPr>
      <w:sz w:val="18"/>
      <w:szCs w:val="18"/>
    </w:rPr>
  </w:style>
  <w:style w:type="character" w:customStyle="1" w:styleId="BalloonTextChar">
    <w:name w:val="Balloon Text Char"/>
    <w:basedOn w:val="DefaultParagraphFont"/>
    <w:link w:val="BalloonText"/>
    <w:uiPriority w:val="99"/>
    <w:semiHidden/>
    <w:rsid w:val="00554E73"/>
    <w:rPr>
      <w:rFonts w:ascii="Times New Roman" w:hAnsi="Times New Roman" w:cs="Times New Roman"/>
      <w:sz w:val="18"/>
      <w:szCs w:val="18"/>
    </w:rPr>
  </w:style>
  <w:style w:type="paragraph" w:styleId="Revision">
    <w:name w:val="Revision"/>
    <w:hidden/>
    <w:uiPriority w:val="99"/>
    <w:semiHidden/>
    <w:rsid w:val="009A670D"/>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85E16"/>
    <w:rPr>
      <w:sz w:val="16"/>
      <w:szCs w:val="16"/>
    </w:rPr>
  </w:style>
  <w:style w:type="paragraph" w:styleId="CommentText">
    <w:name w:val="annotation text"/>
    <w:basedOn w:val="Normal"/>
    <w:link w:val="CommentTextChar"/>
    <w:uiPriority w:val="99"/>
    <w:semiHidden/>
    <w:unhideWhenUsed/>
    <w:rsid w:val="00E85E16"/>
    <w:rPr>
      <w:sz w:val="20"/>
      <w:szCs w:val="20"/>
    </w:rPr>
  </w:style>
  <w:style w:type="character" w:customStyle="1" w:styleId="CommentTextChar">
    <w:name w:val="Comment Text Char"/>
    <w:basedOn w:val="DefaultParagraphFont"/>
    <w:link w:val="CommentText"/>
    <w:uiPriority w:val="99"/>
    <w:semiHidden/>
    <w:rsid w:val="00E85E1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5E16"/>
    <w:rPr>
      <w:b/>
      <w:bCs/>
    </w:rPr>
  </w:style>
  <w:style w:type="character" w:customStyle="1" w:styleId="CommentSubjectChar">
    <w:name w:val="Comment Subject Char"/>
    <w:basedOn w:val="CommentTextChar"/>
    <w:link w:val="CommentSubject"/>
    <w:uiPriority w:val="99"/>
    <w:semiHidden/>
    <w:rsid w:val="00E85E16"/>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445275">
      <w:bodyDiv w:val="1"/>
      <w:marLeft w:val="0"/>
      <w:marRight w:val="0"/>
      <w:marTop w:val="0"/>
      <w:marBottom w:val="0"/>
      <w:divBdr>
        <w:top w:val="none" w:sz="0" w:space="0" w:color="auto"/>
        <w:left w:val="none" w:sz="0" w:space="0" w:color="auto"/>
        <w:bottom w:val="none" w:sz="0" w:space="0" w:color="auto"/>
        <w:right w:val="none" w:sz="0" w:space="0" w:color="auto"/>
      </w:divBdr>
    </w:div>
    <w:div w:id="365524133">
      <w:bodyDiv w:val="1"/>
      <w:marLeft w:val="0"/>
      <w:marRight w:val="120"/>
      <w:marTop w:val="0"/>
      <w:marBottom w:val="0"/>
      <w:divBdr>
        <w:top w:val="none" w:sz="0" w:space="0" w:color="auto"/>
        <w:left w:val="none" w:sz="0" w:space="0" w:color="auto"/>
        <w:bottom w:val="none" w:sz="0" w:space="0" w:color="auto"/>
        <w:right w:val="none" w:sz="0" w:space="0" w:color="auto"/>
      </w:divBdr>
      <w:divsChild>
        <w:div w:id="786241758">
          <w:marLeft w:val="0"/>
          <w:marRight w:val="0"/>
          <w:marTop w:val="0"/>
          <w:marBottom w:val="0"/>
          <w:divBdr>
            <w:top w:val="none" w:sz="0" w:space="0" w:color="auto"/>
            <w:left w:val="none" w:sz="0" w:space="0" w:color="auto"/>
            <w:bottom w:val="none" w:sz="0" w:space="0" w:color="auto"/>
            <w:right w:val="none" w:sz="0" w:space="0" w:color="auto"/>
          </w:divBdr>
          <w:divsChild>
            <w:div w:id="17890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40204">
      <w:bodyDiv w:val="1"/>
      <w:marLeft w:val="0"/>
      <w:marRight w:val="0"/>
      <w:marTop w:val="0"/>
      <w:marBottom w:val="0"/>
      <w:divBdr>
        <w:top w:val="none" w:sz="0" w:space="0" w:color="auto"/>
        <w:left w:val="none" w:sz="0" w:space="0" w:color="auto"/>
        <w:bottom w:val="none" w:sz="0" w:space="0" w:color="auto"/>
        <w:right w:val="none" w:sz="0" w:space="0" w:color="auto"/>
      </w:divBdr>
    </w:div>
    <w:div w:id="811214842">
      <w:bodyDiv w:val="1"/>
      <w:marLeft w:val="0"/>
      <w:marRight w:val="0"/>
      <w:marTop w:val="0"/>
      <w:marBottom w:val="0"/>
      <w:divBdr>
        <w:top w:val="none" w:sz="0" w:space="0" w:color="auto"/>
        <w:left w:val="none" w:sz="0" w:space="0" w:color="auto"/>
        <w:bottom w:val="none" w:sz="0" w:space="0" w:color="auto"/>
        <w:right w:val="none" w:sz="0" w:space="0" w:color="auto"/>
      </w:divBdr>
    </w:div>
    <w:div w:id="1069156762">
      <w:bodyDiv w:val="1"/>
      <w:marLeft w:val="0"/>
      <w:marRight w:val="0"/>
      <w:marTop w:val="0"/>
      <w:marBottom w:val="0"/>
      <w:divBdr>
        <w:top w:val="none" w:sz="0" w:space="0" w:color="auto"/>
        <w:left w:val="none" w:sz="0" w:space="0" w:color="auto"/>
        <w:bottom w:val="none" w:sz="0" w:space="0" w:color="auto"/>
        <w:right w:val="none" w:sz="0" w:space="0" w:color="auto"/>
      </w:divBdr>
    </w:div>
    <w:div w:id="1170439058">
      <w:bodyDiv w:val="1"/>
      <w:marLeft w:val="0"/>
      <w:marRight w:val="0"/>
      <w:marTop w:val="0"/>
      <w:marBottom w:val="0"/>
      <w:divBdr>
        <w:top w:val="none" w:sz="0" w:space="0" w:color="auto"/>
        <w:left w:val="none" w:sz="0" w:space="0" w:color="auto"/>
        <w:bottom w:val="none" w:sz="0" w:space="0" w:color="auto"/>
        <w:right w:val="none" w:sz="0" w:space="0" w:color="auto"/>
      </w:divBdr>
    </w:div>
    <w:div w:id="1302926422">
      <w:bodyDiv w:val="1"/>
      <w:marLeft w:val="0"/>
      <w:marRight w:val="0"/>
      <w:marTop w:val="0"/>
      <w:marBottom w:val="0"/>
      <w:divBdr>
        <w:top w:val="none" w:sz="0" w:space="0" w:color="auto"/>
        <w:left w:val="none" w:sz="0" w:space="0" w:color="auto"/>
        <w:bottom w:val="none" w:sz="0" w:space="0" w:color="auto"/>
        <w:right w:val="none" w:sz="0" w:space="0" w:color="auto"/>
      </w:divBdr>
    </w:div>
    <w:div w:id="1438595658">
      <w:bodyDiv w:val="1"/>
      <w:marLeft w:val="0"/>
      <w:marRight w:val="0"/>
      <w:marTop w:val="0"/>
      <w:marBottom w:val="0"/>
      <w:divBdr>
        <w:top w:val="none" w:sz="0" w:space="0" w:color="auto"/>
        <w:left w:val="none" w:sz="0" w:space="0" w:color="auto"/>
        <w:bottom w:val="none" w:sz="0" w:space="0" w:color="auto"/>
        <w:right w:val="none" w:sz="0" w:space="0" w:color="auto"/>
      </w:divBdr>
    </w:div>
    <w:div w:id="1453131404">
      <w:bodyDiv w:val="1"/>
      <w:marLeft w:val="0"/>
      <w:marRight w:val="0"/>
      <w:marTop w:val="0"/>
      <w:marBottom w:val="0"/>
      <w:divBdr>
        <w:top w:val="none" w:sz="0" w:space="0" w:color="auto"/>
        <w:left w:val="none" w:sz="0" w:space="0" w:color="auto"/>
        <w:bottom w:val="none" w:sz="0" w:space="0" w:color="auto"/>
        <w:right w:val="none" w:sz="0" w:space="0" w:color="auto"/>
      </w:divBdr>
    </w:div>
    <w:div w:id="1678072899">
      <w:bodyDiv w:val="1"/>
      <w:marLeft w:val="0"/>
      <w:marRight w:val="0"/>
      <w:marTop w:val="0"/>
      <w:marBottom w:val="0"/>
      <w:divBdr>
        <w:top w:val="none" w:sz="0" w:space="0" w:color="auto"/>
        <w:left w:val="none" w:sz="0" w:space="0" w:color="auto"/>
        <w:bottom w:val="none" w:sz="0" w:space="0" w:color="auto"/>
        <w:right w:val="none" w:sz="0" w:space="0" w:color="auto"/>
      </w:divBdr>
    </w:div>
    <w:div w:id="190987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onference.nber.org/confer/2019/BDFMs19/cal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 Mao</dc:creator>
  <cp:lastModifiedBy>Carl Beck</cp:lastModifiedBy>
  <cp:revision>6</cp:revision>
  <cp:lastPrinted>2017-01-28T18:56:00Z</cp:lastPrinted>
  <dcterms:created xsi:type="dcterms:W3CDTF">2018-10-22T14:27:00Z</dcterms:created>
  <dcterms:modified xsi:type="dcterms:W3CDTF">2018-10-23T14:39:00Z</dcterms:modified>
</cp:coreProperties>
</file>